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AD94" w14:textId="77777777" w:rsidR="0061668C" w:rsidRDefault="0061668C" w:rsidP="0061668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vi-VN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vi-VN"/>
        </w:rPr>
        <w:t>Lớp Phật Pháp Buddhadhamma</w:t>
      </w:r>
    </w:p>
    <w:p w14:paraId="1F9FE0E8" w14:textId="77777777" w:rsidR="0061668C" w:rsidRDefault="0061668C" w:rsidP="0061668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vi-VN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Môn</w:t>
      </w:r>
      <w:r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học: Thắng Pháp Abhidhamma</w:t>
      </w:r>
    </w:p>
    <w:p w14:paraId="5383EB76" w14:textId="6CDF5C58" w:rsidR="0061668C" w:rsidRPr="00D1350D" w:rsidRDefault="0061668C" w:rsidP="0061668C">
      <w:pPr>
        <w:pBdr>
          <w:bottom w:val="single" w:sz="4" w:space="1" w:color="auto"/>
        </w:pBd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lang w:val="vi-VN"/>
        </w:rPr>
      </w:pPr>
      <w:r w:rsidRPr="00D1350D">
        <w:rPr>
          <w:rFonts w:ascii="Times New Roman" w:hAnsi="Times New Roman" w:cs="Times New Roman"/>
          <w:b/>
          <w:bCs/>
          <w:color w:val="FF0000"/>
          <w:sz w:val="32"/>
          <w:szCs w:val="32"/>
          <w:lang w:val="vi-VN"/>
        </w:rPr>
        <w:t xml:space="preserve">Bài học ngày </w:t>
      </w:r>
      <w:r w:rsidR="00C71CFC">
        <w:rPr>
          <w:rFonts w:ascii="Times New Roman" w:hAnsi="Times New Roman" w:cs="Times New Roman"/>
          <w:b/>
          <w:bCs/>
          <w:color w:val="FF0000"/>
          <w:sz w:val="32"/>
          <w:szCs w:val="32"/>
          <w:lang w:val="vi-VN"/>
        </w:rPr>
        <w:t>17.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lang w:val="vi-VN"/>
        </w:rPr>
        <w:t>10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.</w:t>
      </w:r>
      <w:r w:rsidRPr="00D1350D">
        <w:rPr>
          <w:rFonts w:ascii="Times New Roman" w:hAnsi="Times New Roman" w:cs="Times New Roman"/>
          <w:b/>
          <w:bCs/>
          <w:color w:val="FF0000"/>
          <w:sz w:val="32"/>
          <w:szCs w:val="32"/>
          <w:lang w:val="vi-VN"/>
        </w:rPr>
        <w:t>2021</w:t>
      </w:r>
    </w:p>
    <w:p w14:paraId="06ECFD24" w14:textId="77777777" w:rsidR="0061668C" w:rsidRPr="0096013D" w:rsidRDefault="0061668C" w:rsidP="0061668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val="vi-VN"/>
        </w:rPr>
      </w:pPr>
    </w:p>
    <w:p w14:paraId="4CB7F770" w14:textId="68365C17" w:rsidR="0061668C" w:rsidRPr="00E2367F" w:rsidRDefault="0061668C" w:rsidP="0061668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44546A" w:themeColor="text2"/>
          <w:sz w:val="32"/>
          <w:szCs w:val="32"/>
          <w:lang w:val="en-US"/>
        </w:rPr>
      </w:pPr>
      <w:r w:rsidRPr="00E2367F">
        <w:rPr>
          <w:rFonts w:ascii="Times New Roman" w:hAnsi="Times New Roman" w:cs="Times New Roman"/>
          <w:color w:val="44546A" w:themeColor="text2"/>
          <w:sz w:val="32"/>
          <w:szCs w:val="32"/>
          <w:lang w:val="vi-VN"/>
        </w:rPr>
        <w:t>Chương IV. TOÁT YẾU SẮC PHÁP (</w:t>
      </w:r>
      <w:r w:rsidRPr="00E2367F">
        <w:rPr>
          <w:rFonts w:ascii="Times New Roman" w:hAnsi="Times New Roman" w:cs="Times New Roman"/>
          <w:color w:val="44546A" w:themeColor="text2"/>
          <w:sz w:val="32"/>
          <w:szCs w:val="32"/>
          <w:lang w:val="en-US"/>
        </w:rPr>
        <w:t>Rūpasaṅgaha)</w:t>
      </w:r>
      <w:r w:rsidRPr="00E2367F">
        <w:rPr>
          <w:rFonts w:ascii="Times New Roman" w:hAnsi="Times New Roman" w:cs="Times New Roman"/>
          <w:color w:val="44546A" w:themeColor="text2"/>
          <w:sz w:val="32"/>
          <w:szCs w:val="32"/>
          <w:lang w:val="vi-VN"/>
        </w:rPr>
        <w:t xml:space="preserve"> </w:t>
      </w:r>
    </w:p>
    <w:p w14:paraId="7E85D373" w14:textId="77777777" w:rsidR="00E2367F" w:rsidRDefault="00E2367F" w:rsidP="0061668C">
      <w:pPr>
        <w:spacing w:line="276" w:lineRule="auto"/>
        <w:jc w:val="both"/>
        <w:rPr>
          <w:rFonts w:ascii="Times New Roman" w:hAnsi="Times New Roman" w:cs="Times New Roman"/>
          <w:b/>
          <w:bCs/>
          <w:color w:val="008F00"/>
          <w:sz w:val="40"/>
          <w:szCs w:val="40"/>
          <w:lang w:val="vi-VN"/>
        </w:rPr>
      </w:pPr>
    </w:p>
    <w:p w14:paraId="489C67B7" w14:textId="4335B5A2" w:rsidR="0061668C" w:rsidRPr="00961A89" w:rsidRDefault="0061668C" w:rsidP="0061668C">
      <w:pPr>
        <w:spacing w:line="276" w:lineRule="auto"/>
        <w:jc w:val="both"/>
        <w:rPr>
          <w:color w:val="008F00"/>
          <w:lang w:val="en-US"/>
        </w:rPr>
      </w:pPr>
      <w:r w:rsidRPr="0096013D">
        <w:rPr>
          <w:rFonts w:ascii="Times New Roman" w:hAnsi="Times New Roman" w:cs="Times New Roman"/>
          <w:b/>
          <w:bCs/>
          <w:color w:val="008F00"/>
          <w:sz w:val="40"/>
          <w:szCs w:val="40"/>
          <w:lang w:val="vi-VN"/>
        </w:rPr>
        <w:t xml:space="preserve">Bài </w:t>
      </w:r>
      <w:r>
        <w:rPr>
          <w:rFonts w:ascii="Times New Roman" w:hAnsi="Times New Roman" w:cs="Times New Roman"/>
          <w:b/>
          <w:bCs/>
          <w:color w:val="008F00"/>
          <w:sz w:val="40"/>
          <w:szCs w:val="40"/>
          <w:lang w:val="en-US"/>
        </w:rPr>
        <w:t>30</w:t>
      </w:r>
      <w:r w:rsidRPr="0096013D">
        <w:rPr>
          <w:rFonts w:ascii="Times New Roman" w:hAnsi="Times New Roman" w:cs="Times New Roman"/>
          <w:b/>
          <w:bCs/>
          <w:color w:val="008F00"/>
          <w:sz w:val="40"/>
          <w:szCs w:val="40"/>
          <w:lang w:val="vi-VN"/>
        </w:rPr>
        <w:t>.</w:t>
      </w:r>
      <w:r>
        <w:rPr>
          <w:rFonts w:ascii="Times New Roman" w:hAnsi="Times New Roman" w:cs="Times New Roman"/>
          <w:b/>
          <w:bCs/>
          <w:color w:val="008F00"/>
          <w:sz w:val="40"/>
          <w:szCs w:val="40"/>
          <w:lang w:val="vi-VN"/>
        </w:rPr>
        <w:t xml:space="preserve"> </w:t>
      </w:r>
      <w:r w:rsidR="00975B54">
        <w:rPr>
          <w:rFonts w:ascii="Times New Roman" w:hAnsi="Times New Roman" w:cs="Times New Roman"/>
          <w:b/>
          <w:bCs/>
          <w:color w:val="008F00"/>
          <w:sz w:val="40"/>
          <w:szCs w:val="40"/>
          <w:lang w:val="vi-VN"/>
        </w:rPr>
        <w:t>TỔNG QUAN VỀ SẮC PHÁP</w:t>
      </w:r>
    </w:p>
    <w:p w14:paraId="654726B5" w14:textId="77777777" w:rsidR="0061668C" w:rsidRDefault="0061668C" w:rsidP="0039749C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45ED6A0" w14:textId="77777777" w:rsidR="00E2367F" w:rsidRDefault="00E2367F" w:rsidP="00E3645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</w:pPr>
    </w:p>
    <w:p w14:paraId="04B2CEF8" w14:textId="77777777" w:rsidR="00E2367F" w:rsidRDefault="00E2367F" w:rsidP="00E3645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</w:pPr>
    </w:p>
    <w:p w14:paraId="5BE5C315" w14:textId="455C659B" w:rsidR="00347ABB" w:rsidRDefault="0061668C" w:rsidP="00E3645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</w:pPr>
      <w:r w:rsidRPr="00347AB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1.</w:t>
      </w:r>
      <w:r w:rsidRPr="00347ABB">
        <w:rPr>
          <w:rFonts w:ascii="Times New Roman" w:eastAsia="Times New Roman" w:hAnsi="Times New Roman" w:cs="Times New Roman"/>
          <w:b/>
          <w:bCs/>
          <w:i/>
          <w:iCs/>
          <w:color w:val="222222"/>
          <w:sz w:val="14"/>
          <w:szCs w:val="14"/>
        </w:rPr>
        <w:t>    </w:t>
      </w:r>
      <w:r w:rsidRPr="00347AB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Tại sao gọi vật chất là “sắc-rūpa”?</w:t>
      </w:r>
    </w:p>
    <w:p w14:paraId="28643234" w14:textId="5ABAA389" w:rsidR="00E3645E" w:rsidRDefault="00E3645E" w:rsidP="00E3645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</w:pPr>
    </w:p>
    <w:p w14:paraId="45209563" w14:textId="22CBE5C8" w:rsidR="00E2367F" w:rsidRPr="00E2367F" w:rsidRDefault="00E2367F" w:rsidP="00E3645E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Ch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ữ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rūpa trong Ph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ạ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m ng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ữ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mang nhi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u 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ngh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ĩ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a. C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ụ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m t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ừ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nāmarūpa th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ườ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ng 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đượ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 d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ch l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danh s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ắ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 hay “v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t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ướ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ng - h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ữ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u h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ì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nh” ch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ỉ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cho th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â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 v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t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â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m. N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ó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 c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á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ch kh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á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c rūpa 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ở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đâ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y ch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ỉ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cho v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ậ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 th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, v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ậ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 ch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ấ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 trong l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 rūpa c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ũ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ng 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đượ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 d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ng 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để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ch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ỉ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c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ả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nh s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ắ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c hay 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đố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 t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ượ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ng c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ủ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 m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ắ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t. Ng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ườ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 Trung Hoa d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ch ch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ữ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s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ắ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c 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để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ch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ỉ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cho c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ả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hai l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v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ậ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 ch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ấ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 v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đố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 t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ượ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ng c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ủ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 nh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ã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 th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ứ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 l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ng theo c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á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ch n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ó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 c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ủ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 ng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ườ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i 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Ấ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n </w:t>
      </w:r>
      <w:r w:rsidRPr="00E2367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Độ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.</w:t>
      </w:r>
    </w:p>
    <w:p w14:paraId="0FA7C210" w14:textId="77777777" w:rsidR="00E2367F" w:rsidRPr="00347ABB" w:rsidRDefault="00E2367F" w:rsidP="00E3645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</w:pPr>
    </w:p>
    <w:p w14:paraId="42D7140D" w14:textId="63D62D97" w:rsidR="0061668C" w:rsidRPr="0039749C" w:rsidRDefault="0061668C" w:rsidP="00E3645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</w:pPr>
      <w:r w:rsidRPr="00347AB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2.</w:t>
      </w:r>
      <w:r w:rsidRPr="00347ABB">
        <w:rPr>
          <w:rFonts w:ascii="Times New Roman" w:eastAsia="Times New Roman" w:hAnsi="Times New Roman" w:cs="Times New Roman"/>
          <w:b/>
          <w:bCs/>
          <w:i/>
          <w:iCs/>
          <w:color w:val="222222"/>
          <w:sz w:val="14"/>
          <w:szCs w:val="14"/>
        </w:rPr>
        <w:t>    </w:t>
      </w:r>
      <w:r w:rsidRPr="00347AB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Phải chăng sắc pháp trong Abhidhamma nói riêng và Phật Pháp nói chung gần với môn sinh vật học hơn là vật lý học trong nền giáo dục hiện nay?</w:t>
      </w:r>
    </w:p>
    <w:p w14:paraId="47EE77E8" w14:textId="7E65CFA1" w:rsidR="00347ABB" w:rsidRDefault="00347ABB" w:rsidP="00E3645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</w:pPr>
    </w:p>
    <w:p w14:paraId="22DB4A10" w14:textId="29FD091F" w:rsidR="00D00B0C" w:rsidRPr="00D00B0C" w:rsidRDefault="00D00B0C" w:rsidP="00E3645E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ó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 ch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í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nh x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á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 th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ì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s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ắ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 ph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á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p trong Abhidhamma 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đề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c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ậ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 chung t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ấ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 c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ả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hi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ệ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 t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ượ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ng v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ậ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 ch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ấ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t. Tuy v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ậ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y khi n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ó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 v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ph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á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 h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ữ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u vi, v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u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ẩ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n, x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ứ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, gi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ớ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i, 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đế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th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ì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đề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u 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đề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c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ậ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 chung quanh hi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ệ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 t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ượ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ng c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ủ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 c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á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 g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ọ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 l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“ch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ng sanh” h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ơ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 l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s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ự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tr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ì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nh b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y thu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ầ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 v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th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gi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ớ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i 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đạ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 t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ự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nhi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ê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n. 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Đâ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y l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t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á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nh c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á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ch kh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á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 bi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ệ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 gi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ữ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 khoa h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ọ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 v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Ph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ậ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 h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ọ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c. 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ự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ph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â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 chia c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á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 m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ô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 h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ọ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 nh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ư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sinh v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ậ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 h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ọ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c, v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ậ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 l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ý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h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ọ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c, ho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á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h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ọ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 c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ủ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 n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ề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 gi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á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o d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ụ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 ng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à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y nay c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ũ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ng kh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ô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ng h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ẳ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n 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đượ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c 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ứ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ng d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ụ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ng v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ớ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 s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ự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ph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â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n 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đị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nh t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ươ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ng t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ự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trong th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ự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 t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ế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. D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ĩ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nhi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ê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n 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đố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 v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ớ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 Ph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ậ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 h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ọ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 th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ì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nh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ữ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ng ph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â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 chia nh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ư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v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ậ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y kh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ô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ng th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ể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á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 d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ụ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ng.</w:t>
      </w:r>
    </w:p>
    <w:p w14:paraId="2C8E18B4" w14:textId="77777777" w:rsidR="00D00B0C" w:rsidRPr="00347ABB" w:rsidRDefault="00D00B0C" w:rsidP="00E3645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</w:pPr>
    </w:p>
    <w:p w14:paraId="1AD584BB" w14:textId="20096AD3" w:rsidR="00E3645E" w:rsidRDefault="0061668C" w:rsidP="0039749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</w:pPr>
      <w:r w:rsidRPr="00347AB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3.</w:t>
      </w:r>
      <w:r w:rsidRPr="00347ABB">
        <w:rPr>
          <w:rFonts w:ascii="Times New Roman" w:eastAsia="Times New Roman" w:hAnsi="Times New Roman" w:cs="Times New Roman"/>
          <w:b/>
          <w:bCs/>
          <w:i/>
          <w:iCs/>
          <w:color w:val="222222"/>
          <w:sz w:val="14"/>
          <w:szCs w:val="14"/>
        </w:rPr>
        <w:t>    </w:t>
      </w:r>
      <w:r w:rsidRPr="00347AB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Bốn nhân sanh sắc pháp là n</w:t>
      </w:r>
      <w:r w:rsidR="00347AB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en-US"/>
        </w:rPr>
        <w:t>g</w:t>
      </w:r>
      <w:r w:rsidRPr="00347AB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hiệp (kamma), tâm (citta), quí tiết (utu), vật thực (āhāra) cho thấy sự khác biệt gì về cái nhìn đối với vật chất giữa Phật học và khoa học?</w:t>
      </w:r>
    </w:p>
    <w:p w14:paraId="2453D1CF" w14:textId="3EA4ABAB" w:rsidR="00D00B0C" w:rsidRDefault="00D00B0C" w:rsidP="0039749C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4E5AA52C" w14:textId="79935A22" w:rsidR="00D00B0C" w:rsidRPr="00D00B0C" w:rsidRDefault="00D00B0C" w:rsidP="0039749C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â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m v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nghi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ệ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 l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hai l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ã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nh v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ự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 khoa h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ọ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 ng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y nay kh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ng 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đề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c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ậ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p 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đế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 trong s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á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ch v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ở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c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ũ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ng nh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h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ọ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c 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đườ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ng m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 d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ng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ườ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 ta c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ó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nhi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u c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ng tr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ì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nh nghi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ê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 c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ứ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u v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n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ã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o b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ộ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. C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ó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th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n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ó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 s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ự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li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ê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 h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ệ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gi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ữ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 t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â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m v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nghi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ệ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p 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đố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 v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ớ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 v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ậ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 ch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ấ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 l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nh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ữ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ng 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đặ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c 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đ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m th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v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nh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ấ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 v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l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ợ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i 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í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ch nh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ấ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 khi h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ọ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 s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ắ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 ph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á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 trong m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 Th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ắ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ng Ph</w:t>
      </w:r>
      <w:r w:rsidRPr="00D00B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á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p.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Ch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ỉ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ri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ê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ng v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ề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s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ự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li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ê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 h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ệ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gi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ữ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a 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lastRenderedPageBreak/>
        <w:t>c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ă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n, c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ả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nh v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à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th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ứ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c 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đã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n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ó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 l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ê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 t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ươ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ng quan 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đặ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 bi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ệ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 gi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ữ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 t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â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m th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ứ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 v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à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v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ậ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 ch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ấ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t - 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đ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ề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u m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à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khoa h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ọ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 ng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à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y nay th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ừ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 nh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ậ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 nh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ư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ng kh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ô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ng x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á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 l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ậ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 r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õ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r</w:t>
      </w:r>
      <w:r w:rsidR="00D13516" w:rsidRP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à</w:t>
      </w:r>
      <w:r w:rsidR="00D1351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ng. </w:t>
      </w:r>
    </w:p>
    <w:p w14:paraId="35FA755C" w14:textId="5C7187DD" w:rsidR="00E3645E" w:rsidRDefault="00E3645E" w:rsidP="00E3645E">
      <w:pPr>
        <w:rPr>
          <w:rFonts w:ascii="Times New Roman" w:eastAsia="Times New Roman" w:hAnsi="Times New Roman" w:cs="Times New Roman"/>
          <w:i/>
          <w:iCs/>
          <w:lang w:val="en-US"/>
        </w:rPr>
      </w:pPr>
    </w:p>
    <w:p w14:paraId="0A761410" w14:textId="77777777" w:rsidR="00D00B0C" w:rsidRPr="00D00B0C" w:rsidRDefault="00D00B0C" w:rsidP="00E3645E">
      <w:pPr>
        <w:rPr>
          <w:rFonts w:ascii="Times New Roman" w:eastAsia="Times New Roman" w:hAnsi="Times New Roman" w:cs="Times New Roman"/>
          <w:i/>
          <w:iCs/>
          <w:lang w:val="en-US"/>
        </w:rPr>
      </w:pPr>
    </w:p>
    <w:p w14:paraId="000F03E8" w14:textId="17048257" w:rsidR="0061668C" w:rsidRPr="00347ABB" w:rsidRDefault="0061668C" w:rsidP="0061668C">
      <w:pP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</w:pPr>
      <w:r w:rsidRPr="00347AB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>4.</w:t>
      </w:r>
      <w:r w:rsidRPr="00347ABB">
        <w:rPr>
          <w:rFonts w:ascii="Times New Roman" w:eastAsia="Times New Roman" w:hAnsi="Times New Roman" w:cs="Times New Roman"/>
          <w:b/>
          <w:bCs/>
          <w:i/>
          <w:iCs/>
          <w:color w:val="222222"/>
          <w:sz w:val="14"/>
          <w:szCs w:val="14"/>
          <w:shd w:val="clear" w:color="auto" w:fill="FFFFFF"/>
        </w:rPr>
        <w:t>    </w:t>
      </w:r>
      <w:r w:rsidRPr="00347AB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>Có bao nhiêu pháp được nói đến về sắc pháp?</w:t>
      </w:r>
    </w:p>
    <w:p w14:paraId="2D4F5C2A" w14:textId="355FAD6C" w:rsidR="00134B01" w:rsidRPr="00347ABB" w:rsidRDefault="00134B01" w:rsidP="00134B0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134B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ũ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ng nh</w:t>
      </w:r>
      <w:r w:rsidRPr="00134B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danh ph</w:t>
      </w:r>
      <w:r w:rsidRPr="00134B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á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p, s</w:t>
      </w:r>
      <w:r w:rsidRPr="00134B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ph</w:t>
      </w:r>
      <w:r w:rsidRPr="00134B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â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 chia s</w:t>
      </w:r>
      <w:r w:rsidRPr="00134B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ắ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 ph</w:t>
      </w:r>
      <w:r w:rsidRPr="00134B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á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 kh</w:t>
      </w:r>
      <w:r w:rsidRPr="00134B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ng h</w:t>
      </w:r>
      <w:r w:rsidRPr="00134B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 l</w:t>
      </w:r>
      <w:r w:rsidRPr="00134B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nh</w:t>
      </w:r>
      <w:r w:rsidRPr="00134B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ữ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ng th</w:t>
      </w:r>
      <w:r w:rsidRPr="00134B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nh ph</w:t>
      </w:r>
      <w:r w:rsidRPr="00134B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ầ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 c</w:t>
      </w:r>
      <w:r w:rsidRPr="00134B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á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bi</w:t>
      </w:r>
      <w:r w:rsidRPr="00134B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ệ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 c</w:t>
      </w:r>
      <w:r w:rsidRPr="00134B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ủ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 v</w:t>
      </w:r>
      <w:r w:rsidRPr="00134B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ậ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 ch</w:t>
      </w:r>
      <w:r w:rsidRPr="00134B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ấ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 m</w:t>
      </w:r>
      <w:r w:rsidRPr="00134B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g</w:t>
      </w:r>
      <w:r w:rsidRPr="00134B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 c</w:t>
      </w:r>
      <w:r w:rsidRPr="00134B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ả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nh</w:t>
      </w:r>
      <w:r w:rsidRPr="00134B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ữ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ng thu</w:t>
      </w:r>
      <w:r w:rsidRPr="00134B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ộ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 t</w:t>
      </w:r>
      <w:r w:rsidRPr="00134B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á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nh, t</w:t>
      </w:r>
      <w:r w:rsidRPr="00134B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í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nh c</w:t>
      </w:r>
      <w:r w:rsidRPr="00134B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á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 v</w:t>
      </w:r>
      <w:r w:rsidRPr="00134B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y</w:t>
      </w:r>
      <w:r w:rsidRPr="00134B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 t</w:t>
      </w:r>
      <w:r w:rsidRPr="00134B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á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nh t</w:t>
      </w:r>
      <w:r w:rsidRPr="00134B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 t</w:t>
      </w:r>
      <w:r w:rsidRPr="00134B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ạ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Sắc pháp có 28 thứ,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chia th</w:t>
      </w:r>
      <w:r w:rsidRPr="00347A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nh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hai nhóm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</w:p>
    <w:p w14:paraId="588F8B07" w14:textId="77777777" w:rsidR="00134B01" w:rsidRDefault="00134B01" w:rsidP="00134B0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</w:p>
    <w:p w14:paraId="15D5683B" w14:textId="77777777" w:rsidR="00134B01" w:rsidRPr="00201E32" w:rsidRDefault="00134B01" w:rsidP="00134B01">
      <w:pPr>
        <w:pStyle w:val="ListParagraph"/>
        <w:numPr>
          <w:ilvl w:val="0"/>
          <w:numId w:val="1"/>
        </w:numPr>
        <w:spacing w:line="276" w:lineRule="auto"/>
        <w:ind w:left="851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4 sắc đại hiển </w:t>
      </w:r>
      <w:r w:rsidRPr="000139A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(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M</w:t>
      </w:r>
      <w:r w:rsidRPr="000139A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ah</w:t>
      </w:r>
      <w:r w:rsidRPr="000139A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ābhūtarūpa)</w:t>
      </w:r>
    </w:p>
    <w:p w14:paraId="370C6D5C" w14:textId="77777777" w:rsidR="00134B01" w:rsidRDefault="00134B01" w:rsidP="00134B01">
      <w:pPr>
        <w:spacing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</w:p>
    <w:p w14:paraId="72CC38A9" w14:textId="77777777" w:rsidR="00134B01" w:rsidRDefault="00134B01" w:rsidP="00134B01">
      <w:pPr>
        <w:pStyle w:val="ListParagraph"/>
        <w:numPr>
          <w:ilvl w:val="0"/>
          <w:numId w:val="3"/>
        </w:numPr>
        <w:spacing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Đất </w:t>
      </w:r>
      <w:r w:rsidRPr="009F481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(pa</w:t>
      </w:r>
      <w:r w:rsidRPr="009F481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ṭhavī)</w:t>
      </w:r>
    </w:p>
    <w:p w14:paraId="1FA6AE39" w14:textId="77777777" w:rsidR="00134B01" w:rsidRDefault="00134B01" w:rsidP="00134B01">
      <w:pPr>
        <w:pStyle w:val="ListParagraph"/>
        <w:numPr>
          <w:ilvl w:val="0"/>
          <w:numId w:val="3"/>
        </w:numPr>
        <w:spacing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Nước </w:t>
      </w:r>
      <w:r w:rsidRPr="000139A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(ā</w:t>
      </w:r>
      <w:r w:rsidRPr="000139A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po)</w:t>
      </w:r>
    </w:p>
    <w:p w14:paraId="587679E0" w14:textId="77777777" w:rsidR="00134B01" w:rsidRDefault="00134B01" w:rsidP="00134B01">
      <w:pPr>
        <w:pStyle w:val="ListParagraph"/>
        <w:numPr>
          <w:ilvl w:val="0"/>
          <w:numId w:val="3"/>
        </w:numPr>
        <w:spacing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Lửa </w:t>
      </w:r>
      <w:r w:rsidRPr="000139A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(</w:t>
      </w:r>
      <w:r w:rsidRPr="000139A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tejo)</w:t>
      </w:r>
    </w:p>
    <w:p w14:paraId="542E76EB" w14:textId="77777777" w:rsidR="00134B01" w:rsidRDefault="00134B01" w:rsidP="00134B01">
      <w:pPr>
        <w:pStyle w:val="ListParagraph"/>
        <w:numPr>
          <w:ilvl w:val="0"/>
          <w:numId w:val="3"/>
        </w:numPr>
        <w:spacing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Gió </w:t>
      </w:r>
      <w:r w:rsidRPr="000139A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(</w:t>
      </w:r>
      <w:r w:rsidRPr="000139A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vāyo)</w:t>
      </w:r>
    </w:p>
    <w:p w14:paraId="1594E878" w14:textId="77777777" w:rsidR="00134B01" w:rsidRPr="00201E32" w:rsidRDefault="00134B01" w:rsidP="00134B0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</w:p>
    <w:p w14:paraId="0CA707EF" w14:textId="77777777" w:rsidR="00134B01" w:rsidRPr="00836EB5" w:rsidRDefault="00134B01" w:rsidP="00134B01">
      <w:pPr>
        <w:pStyle w:val="ListParagraph"/>
        <w:numPr>
          <w:ilvl w:val="0"/>
          <w:numId w:val="1"/>
        </w:numPr>
        <w:spacing w:line="276" w:lineRule="auto"/>
        <w:ind w:left="851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24 sắc y sinh </w:t>
      </w:r>
      <w:r w:rsidRPr="000139A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(Up</w:t>
      </w:r>
      <w:r w:rsidRPr="000139A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ādāyarūpa)</w:t>
      </w:r>
    </w:p>
    <w:p w14:paraId="7EE8021C" w14:textId="77777777" w:rsidR="00134B01" w:rsidRDefault="00134B01" w:rsidP="00134B0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</w:p>
    <w:p w14:paraId="25A5E568" w14:textId="77777777" w:rsidR="00134B01" w:rsidRDefault="00134B01" w:rsidP="00134B01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Nhãn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0139A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(cakkhu)</w:t>
      </w:r>
    </w:p>
    <w:p w14:paraId="685E9CB9" w14:textId="77777777" w:rsidR="00134B01" w:rsidRDefault="00134B01" w:rsidP="00134B01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Nhĩ </w:t>
      </w:r>
      <w:r w:rsidRPr="000139A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(sota)</w:t>
      </w:r>
    </w:p>
    <w:p w14:paraId="10AF4C29" w14:textId="77777777" w:rsidR="00134B01" w:rsidRDefault="00134B01" w:rsidP="00134B01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Tỷ </w:t>
      </w:r>
      <w:r w:rsidRPr="000139A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(gh</w:t>
      </w:r>
      <w:r w:rsidRPr="000139A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āna)</w:t>
      </w:r>
    </w:p>
    <w:p w14:paraId="30098A67" w14:textId="77777777" w:rsidR="00134B01" w:rsidRDefault="00134B01" w:rsidP="00134B01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Thiệt </w:t>
      </w:r>
      <w:r w:rsidRPr="007D6C1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(</w:t>
      </w:r>
      <w:r w:rsidRPr="007D6C1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jivhā)</w:t>
      </w:r>
    </w:p>
    <w:p w14:paraId="790F4C29" w14:textId="77777777" w:rsidR="00134B01" w:rsidRDefault="00134B01" w:rsidP="00134B01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Thân </w:t>
      </w:r>
      <w:r w:rsidRPr="007D6C1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(</w:t>
      </w:r>
      <w:r w:rsidRPr="007D6C1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kāya)</w:t>
      </w:r>
    </w:p>
    <w:p w14:paraId="5AE9AA51" w14:textId="77777777" w:rsidR="00134B01" w:rsidRDefault="00134B01" w:rsidP="00134B01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Sắc </w:t>
      </w:r>
      <w:r w:rsidRPr="007D6C1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(</w:t>
      </w:r>
      <w:r w:rsidRPr="007D6C1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rūpa)</w:t>
      </w:r>
    </w:p>
    <w:p w14:paraId="5137D525" w14:textId="77777777" w:rsidR="00134B01" w:rsidRDefault="00134B01" w:rsidP="00134B01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Thinh </w:t>
      </w:r>
      <w:r w:rsidRPr="007D6C1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(</w:t>
      </w:r>
      <w:r w:rsidRPr="007D6C1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sadda)</w:t>
      </w:r>
    </w:p>
    <w:p w14:paraId="65F8BF9C" w14:textId="77777777" w:rsidR="00134B01" w:rsidRDefault="00134B01" w:rsidP="00134B01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Khí </w:t>
      </w:r>
      <w:r w:rsidRPr="007D6C1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(</w:t>
      </w:r>
      <w:r w:rsidRPr="007D6C1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gandha)</w:t>
      </w:r>
    </w:p>
    <w:p w14:paraId="12DBB557" w14:textId="77777777" w:rsidR="00134B01" w:rsidRDefault="00134B01" w:rsidP="00134B01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Vị </w:t>
      </w:r>
      <w:r w:rsidRPr="007D6C1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(</w:t>
      </w:r>
      <w:r w:rsidRPr="007D6C1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rasa)</w:t>
      </w:r>
    </w:p>
    <w:p w14:paraId="11C89324" w14:textId="77777777" w:rsidR="00134B01" w:rsidRPr="00A96951" w:rsidRDefault="00134B01" w:rsidP="00134B01">
      <w:pPr>
        <w:pStyle w:val="ListParagraph"/>
        <w:tabs>
          <w:tab w:val="left" w:pos="993"/>
        </w:tabs>
        <w:spacing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886C4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Xúc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7D6C1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(</w:t>
      </w:r>
      <w:r w:rsidRPr="007D6C1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phoṭṭhabba)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ba hiển sắc từ trước.</w:t>
      </w:r>
    </w:p>
    <w:p w14:paraId="56C178F6" w14:textId="77777777" w:rsidR="00134B01" w:rsidRDefault="00134B01" w:rsidP="00134B01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886C4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Nữ tánh </w:t>
      </w:r>
      <w:r w:rsidRPr="007D6C1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(</w:t>
      </w:r>
      <w:r w:rsidRPr="007D6C1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itthatta)</w:t>
      </w:r>
    </w:p>
    <w:p w14:paraId="574A47A3" w14:textId="77777777" w:rsidR="00134B01" w:rsidRDefault="00134B01" w:rsidP="00134B01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886C4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Nam tánh </w:t>
      </w:r>
      <w:r w:rsidRPr="007D6C1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(</w:t>
      </w:r>
      <w:r w:rsidRPr="007D6C1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purisatta)</w:t>
      </w:r>
    </w:p>
    <w:p w14:paraId="57AB22FD" w14:textId="77777777" w:rsidR="00134B01" w:rsidRDefault="00134B01" w:rsidP="00134B01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886C4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Ý vật </w:t>
      </w:r>
      <w:r w:rsidRPr="007D6C1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(</w:t>
      </w:r>
      <w:r w:rsidRPr="007D6C1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hadayavatthu)</w:t>
      </w:r>
    </w:p>
    <w:p w14:paraId="5B6A1787" w14:textId="77777777" w:rsidR="00134B01" w:rsidRDefault="00134B01" w:rsidP="00134B01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Mạng quyền </w:t>
      </w:r>
      <w:r w:rsidRPr="007D6C1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(</w:t>
      </w:r>
      <w:r w:rsidRPr="007D6C1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jīvitindriya)</w:t>
      </w:r>
    </w:p>
    <w:p w14:paraId="10158B29" w14:textId="77777777" w:rsidR="00134B01" w:rsidRDefault="00134B01" w:rsidP="00134B01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Dưỡng tố </w:t>
      </w:r>
      <w:r w:rsidRPr="007D6C1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(</w:t>
      </w:r>
      <w:r w:rsidRPr="007D6C1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oja)</w:t>
      </w:r>
    </w:p>
    <w:p w14:paraId="258853B3" w14:textId="77777777" w:rsidR="00134B01" w:rsidRDefault="00134B01" w:rsidP="00134B01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Không giới </w:t>
      </w:r>
      <w:r w:rsidRPr="007D6C1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(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ā</w:t>
      </w:r>
      <w:r w:rsidRPr="007D6C1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kāsadhātu)</w:t>
      </w:r>
    </w:p>
    <w:p w14:paraId="79FFCF84" w14:textId="77777777" w:rsidR="00134B01" w:rsidRDefault="00134B01" w:rsidP="00134B01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Thân biểu </w:t>
      </w:r>
      <w:r w:rsidRPr="007D6C1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(</w:t>
      </w:r>
      <w:r w:rsidRPr="007D6C1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kāyaviññatti)</w:t>
      </w:r>
    </w:p>
    <w:p w14:paraId="65C904D2" w14:textId="77777777" w:rsidR="00134B01" w:rsidRDefault="00134B01" w:rsidP="00134B01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lastRenderedPageBreak/>
        <w:t xml:space="preserve">Khẩu biểu </w:t>
      </w:r>
      <w:r w:rsidRPr="007D6C1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(</w:t>
      </w:r>
      <w:r w:rsidRPr="007D6C1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vācīviññatti)</w:t>
      </w:r>
    </w:p>
    <w:p w14:paraId="6BCACE85" w14:textId="77777777" w:rsidR="00134B01" w:rsidRDefault="00134B01" w:rsidP="00134B01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Khinh </w:t>
      </w:r>
      <w:r w:rsidRPr="007D6C1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(</w:t>
      </w:r>
      <w:r w:rsidRPr="007D6C1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lahutā)</w:t>
      </w:r>
    </w:p>
    <w:p w14:paraId="5E61A32D" w14:textId="77777777" w:rsidR="00134B01" w:rsidRDefault="00134B01" w:rsidP="00134B01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Nhu </w:t>
      </w:r>
      <w:r w:rsidRPr="007D6C1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(</w:t>
      </w:r>
      <w:r w:rsidRPr="007D6C1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mudutā)</w:t>
      </w:r>
    </w:p>
    <w:p w14:paraId="62BDCDB0" w14:textId="77777777" w:rsidR="00134B01" w:rsidRDefault="00134B01" w:rsidP="00134B01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Thích sự </w:t>
      </w:r>
      <w:r w:rsidRPr="007D6C1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(</w:t>
      </w:r>
      <w:r w:rsidRPr="007D6C1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kammaññatā)</w:t>
      </w:r>
    </w:p>
    <w:p w14:paraId="2688B8B3" w14:textId="77777777" w:rsidR="00134B01" w:rsidRPr="007D6C1B" w:rsidRDefault="00134B01" w:rsidP="00134B01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ind w:left="1418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Sinh </w:t>
      </w:r>
      <w:r w:rsidRPr="007D6C1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(</w:t>
      </w:r>
      <w:r w:rsidRPr="007D6C1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upacaya)</w:t>
      </w:r>
    </w:p>
    <w:p w14:paraId="662263BF" w14:textId="77777777" w:rsidR="00134B01" w:rsidRPr="007D6C1B" w:rsidRDefault="00134B01" w:rsidP="00134B01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ind w:left="1418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Diễn </w:t>
      </w:r>
      <w:r w:rsidRPr="007D6C1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(</w:t>
      </w:r>
      <w:r w:rsidRPr="007D6C1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santati)</w:t>
      </w:r>
    </w:p>
    <w:p w14:paraId="5059837B" w14:textId="77777777" w:rsidR="00134B01" w:rsidRDefault="00134B01" w:rsidP="00134B01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Dị </w:t>
      </w:r>
      <w:r w:rsidRPr="007D6C1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(</w:t>
      </w:r>
      <w:r w:rsidRPr="007D6C1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jaratā)</w:t>
      </w:r>
    </w:p>
    <w:p w14:paraId="1515F182" w14:textId="77777777" w:rsidR="00134B01" w:rsidRPr="00BC494F" w:rsidRDefault="00134B01" w:rsidP="00134B01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Diệt </w:t>
      </w:r>
      <w:r w:rsidRPr="007D6C1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(</w:t>
      </w:r>
      <w:r w:rsidRPr="007D6C1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aniccatā)</w:t>
      </w:r>
    </w:p>
    <w:p w14:paraId="7024127E" w14:textId="77777777" w:rsidR="00134B01" w:rsidRPr="00D00B0C" w:rsidRDefault="00134B01" w:rsidP="0061668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EBB48B0" w14:textId="77777777" w:rsidR="0061668C" w:rsidRPr="0061668C" w:rsidRDefault="0061668C" w:rsidP="0061668C">
      <w:pPr>
        <w:rPr>
          <w:rFonts w:ascii="Times New Roman" w:eastAsia="Times New Roman" w:hAnsi="Times New Roman" w:cs="Times New Roman"/>
        </w:rPr>
      </w:pPr>
    </w:p>
    <w:p w14:paraId="5C4C5ACA" w14:textId="7F128428" w:rsidR="007857EE" w:rsidRPr="00FD6C08" w:rsidRDefault="00D13516">
      <w:pPr>
        <w:rPr>
          <w:lang w:val="vi-VN"/>
        </w:rPr>
      </w:pPr>
    </w:p>
    <w:sectPr w:rsidR="007857EE" w:rsidRPr="00FD6C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977EE"/>
    <w:multiLevelType w:val="hybridMultilevel"/>
    <w:tmpl w:val="10586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A0239"/>
    <w:multiLevelType w:val="hybridMultilevel"/>
    <w:tmpl w:val="6EE01134"/>
    <w:lvl w:ilvl="0" w:tplc="48CC0E5C">
      <w:start w:val="1"/>
      <w:numFmt w:val="decimal"/>
      <w:lvlText w:val="%1."/>
      <w:lvlJc w:val="left"/>
      <w:pPr>
        <w:ind w:left="791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C7BF7"/>
    <w:multiLevelType w:val="hybridMultilevel"/>
    <w:tmpl w:val="EBAA6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8C"/>
    <w:rsid w:val="00134B01"/>
    <w:rsid w:val="00347ABB"/>
    <w:rsid w:val="0039749C"/>
    <w:rsid w:val="004167C0"/>
    <w:rsid w:val="0061668C"/>
    <w:rsid w:val="007D1C83"/>
    <w:rsid w:val="00975B54"/>
    <w:rsid w:val="00C71CFC"/>
    <w:rsid w:val="00D00B0C"/>
    <w:rsid w:val="00D13516"/>
    <w:rsid w:val="00E2367F"/>
    <w:rsid w:val="00E3645E"/>
    <w:rsid w:val="00E406E6"/>
    <w:rsid w:val="00FD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7EC26"/>
  <w15:chartTrackingRefBased/>
  <w15:docId w15:val="{B7F20999-5473-9248-AE20-370DCA25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66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16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1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Lee</dc:creator>
  <cp:keywords/>
  <dc:description/>
  <cp:lastModifiedBy>dang pham</cp:lastModifiedBy>
  <cp:revision>7</cp:revision>
  <cp:lastPrinted>2021-10-17T03:40:00Z</cp:lastPrinted>
  <dcterms:created xsi:type="dcterms:W3CDTF">2021-10-17T03:15:00Z</dcterms:created>
  <dcterms:modified xsi:type="dcterms:W3CDTF">2021-10-17T10:58:00Z</dcterms:modified>
</cp:coreProperties>
</file>